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5" w:type="dxa"/>
        <w:tblInd w:w="-505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55"/>
        <w:gridCol w:w="3166"/>
        <w:gridCol w:w="3844"/>
      </w:tblGrid>
      <w:tr w:rsidR="00D03A50" w:rsidRPr="00D03A50" w:rsidTr="005D6B07">
        <w:trPr>
          <w:trHeight w:val="457"/>
        </w:trPr>
        <w:tc>
          <w:tcPr>
            <w:tcW w:w="3355" w:type="dxa"/>
            <w:tcBorders>
              <w:bottom w:val="threeDEngrave" w:sz="24" w:space="0" w:color="000000" w:themeColor="text1"/>
              <w:right w:val="threeDEngrave" w:sz="24" w:space="0" w:color="000000" w:themeColor="text1"/>
            </w:tcBorders>
          </w:tcPr>
          <w:p w:rsidR="00D03A50" w:rsidRPr="00D03A50" w:rsidRDefault="00D03A50" w:rsidP="00D03A5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t>المستوى :رابعة آداب 1-2</w:t>
            </w:r>
          </w:p>
        </w:tc>
        <w:tc>
          <w:tcPr>
            <w:tcW w:w="3166" w:type="dxa"/>
            <w:vMerge w:val="restart"/>
            <w:tcBorders>
              <w:right w:val="threeDEngrave" w:sz="24" w:space="0" w:color="000000" w:themeColor="text1"/>
            </w:tcBorders>
          </w:tcPr>
          <w:p w:rsidR="00D03A50" w:rsidRPr="00D03A50" w:rsidRDefault="00D03A50" w:rsidP="00D03A5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t>فرض تأليفي في مادة التاريخ والجغرافيا</w:t>
            </w:r>
          </w:p>
        </w:tc>
        <w:tc>
          <w:tcPr>
            <w:tcW w:w="3844" w:type="dxa"/>
            <w:tcBorders>
              <w:left w:val="threeDEngrave" w:sz="24" w:space="0" w:color="000000" w:themeColor="text1"/>
              <w:bottom w:val="threeDEngrave" w:sz="24" w:space="0" w:color="000000" w:themeColor="text1"/>
            </w:tcBorders>
          </w:tcPr>
          <w:p w:rsidR="00D03A50" w:rsidRPr="00D03A50" w:rsidRDefault="00D03A50" w:rsidP="00D03A50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معهد فرحات حشاد </w:t>
            </w:r>
            <w:r w:rsidRPr="00D03A50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Pr="00D03A5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الكاف -</w:t>
            </w:r>
          </w:p>
        </w:tc>
      </w:tr>
      <w:tr w:rsidR="00D03A50" w:rsidRPr="00D03A50" w:rsidTr="00896D74">
        <w:trPr>
          <w:trHeight w:val="466"/>
        </w:trPr>
        <w:tc>
          <w:tcPr>
            <w:tcW w:w="3355" w:type="dxa"/>
            <w:tcBorders>
              <w:top w:val="threeDEngrave" w:sz="24" w:space="0" w:color="000000" w:themeColor="text1"/>
              <w:right w:val="threeDEngrave" w:sz="24" w:space="0" w:color="000000" w:themeColor="text1"/>
            </w:tcBorders>
          </w:tcPr>
          <w:p w:rsidR="00D03A50" w:rsidRPr="00D03A50" w:rsidRDefault="00D03A50" w:rsidP="00D03A5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t>مدة الانجاز :3 ساعات</w:t>
            </w:r>
          </w:p>
        </w:tc>
        <w:tc>
          <w:tcPr>
            <w:tcW w:w="3166" w:type="dxa"/>
            <w:vMerge/>
            <w:tcBorders>
              <w:right w:val="threeDEngrave" w:sz="24" w:space="0" w:color="000000" w:themeColor="text1"/>
            </w:tcBorders>
          </w:tcPr>
          <w:p w:rsidR="00D03A50" w:rsidRPr="00D03A50" w:rsidRDefault="00D03A50" w:rsidP="00D03A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threeDEngrave" w:sz="24" w:space="0" w:color="000000" w:themeColor="text1"/>
              <w:left w:val="threeDEngrave" w:sz="24" w:space="0" w:color="000000" w:themeColor="text1"/>
            </w:tcBorders>
          </w:tcPr>
          <w:p w:rsidR="00D03A50" w:rsidRPr="00D03A50" w:rsidRDefault="00D03A50" w:rsidP="00D03A5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t>الأستاذ :نبيل الشيخاوي</w:t>
            </w:r>
          </w:p>
        </w:tc>
      </w:tr>
    </w:tbl>
    <w:p w:rsidR="00A06A68" w:rsidRDefault="00D03A50" w:rsidP="00106A8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106A88">
        <w:rPr>
          <w:rFonts w:hint="cs"/>
          <w:b/>
          <w:bCs/>
          <w:sz w:val="28"/>
          <w:szCs w:val="28"/>
          <w:rtl/>
        </w:rPr>
        <w:t>لتاريخ  ((10ن))          :شرح وثائق حول         :</w:t>
      </w:r>
      <w:r w:rsidR="00106A88" w:rsidRPr="00106A88">
        <w:rPr>
          <w:rFonts w:hint="cs"/>
          <w:b/>
          <w:bCs/>
          <w:sz w:val="28"/>
          <w:szCs w:val="28"/>
          <w:u w:val="single"/>
          <w:rtl/>
        </w:rPr>
        <w:t>ا</w:t>
      </w:r>
      <w:r w:rsidRPr="00106A88">
        <w:rPr>
          <w:rFonts w:hint="cs"/>
          <w:b/>
          <w:bCs/>
          <w:sz w:val="28"/>
          <w:szCs w:val="28"/>
          <w:u w:val="single"/>
          <w:rtl/>
        </w:rPr>
        <w:t>يطاليا وألمانيا في الحربين العالميتين</w:t>
      </w:r>
      <w:r w:rsidR="00106A88" w:rsidRPr="00106A88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W w:w="10534" w:type="dxa"/>
        <w:tblInd w:w="-695" w:type="dxa"/>
        <w:tblBorders>
          <w:top w:val="threeDEngrave" w:sz="24" w:space="0" w:color="000000" w:themeColor="text1"/>
          <w:left w:val="threeDEngrave" w:sz="24" w:space="0" w:color="000000" w:themeColor="text1"/>
          <w:bottom w:val="threeDEngrave" w:sz="24" w:space="0" w:color="000000" w:themeColor="text1"/>
          <w:right w:val="threeDEngrave" w:sz="24" w:space="0" w:color="000000" w:themeColor="text1"/>
          <w:insideH w:val="threeDEngrave" w:sz="24" w:space="0" w:color="000000" w:themeColor="text1"/>
          <w:insideV w:val="threeDEngrave" w:sz="24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25"/>
        <w:gridCol w:w="16"/>
        <w:gridCol w:w="10469"/>
        <w:gridCol w:w="24"/>
      </w:tblGrid>
      <w:tr w:rsidR="00A06A68" w:rsidTr="0085641C">
        <w:trPr>
          <w:gridBefore w:val="2"/>
          <w:gridAfter w:val="1"/>
          <w:wBefore w:w="41" w:type="dxa"/>
          <w:wAfter w:w="24" w:type="dxa"/>
          <w:trHeight w:val="2903"/>
        </w:trPr>
        <w:tc>
          <w:tcPr>
            <w:tcW w:w="10469" w:type="dxa"/>
          </w:tcPr>
          <w:p w:rsidR="00731D6D" w:rsidRDefault="00731D6D" w:rsidP="007D6434">
            <w:pPr>
              <w:rPr>
                <w:b/>
                <w:bCs/>
                <w:sz w:val="28"/>
                <w:szCs w:val="28"/>
                <w:rtl/>
              </w:rPr>
            </w:pPr>
          </w:p>
          <w:p w:rsidR="00A06A68" w:rsidRDefault="00A06A68" w:rsidP="00A06A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الوثيقة </w:t>
            </w:r>
            <w:r w:rsidR="00731D6D">
              <w:rPr>
                <w:rFonts w:hint="cs"/>
                <w:b/>
                <w:bCs/>
                <w:sz w:val="28"/>
                <w:szCs w:val="28"/>
                <w:rtl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r w:rsidR="00731D6D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السياسة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الخارجية </w:t>
            </w:r>
            <w:r w:rsidR="00731D6D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الألمانية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سنة 1888 من خطاب غليوم الثاني </w:t>
            </w:r>
          </w:p>
          <w:p w:rsidR="00A06A68" w:rsidRDefault="00A06A68" w:rsidP="00A06A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"...</w:t>
            </w:r>
            <w:r w:rsidR="00731D6D">
              <w:rPr>
                <w:rFonts w:hint="cs"/>
                <w:b/>
                <w:bCs/>
                <w:sz w:val="28"/>
                <w:szCs w:val="28"/>
                <w:rtl/>
              </w:rPr>
              <w:t>إن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تحالفنا مع النمسا المجر مسالة باتت معروفة ,وهذا التحالف الدفاعي هو في تقديري </w:t>
            </w:r>
            <w:r w:rsidR="00731D6D">
              <w:rPr>
                <w:rFonts w:hint="cs"/>
                <w:b/>
                <w:bCs/>
                <w:sz w:val="28"/>
                <w:szCs w:val="28"/>
                <w:rtl/>
              </w:rPr>
              <w:t>أساس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التوازن الاروبي فضلا عن كونه ارث تاريخي لا منازع فيه...وهناك علاقات تاريخية مماثلة وحاجات وطنية شبيهة </w:t>
            </w:r>
            <w:r w:rsidR="00731D6D">
              <w:rPr>
                <w:rFonts w:hint="cs"/>
                <w:b/>
                <w:bCs/>
                <w:sz w:val="28"/>
                <w:szCs w:val="28"/>
                <w:rtl/>
              </w:rPr>
              <w:t>بما ذكرت تجمعنا بايطاليا واني راض تمام الرضا على التسويات التي توصلنا إليها مع ايطاليا</w:t>
            </w:r>
          </w:p>
          <w:p w:rsidR="00896D74" w:rsidRDefault="00731D6D" w:rsidP="00D93AC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خطاب لغليوم الثاني أمام الرايختاغ بتاريخ 25 جوان 1888</w:t>
            </w:r>
          </w:p>
          <w:p w:rsidR="00D93ACA" w:rsidRDefault="00D93ACA" w:rsidP="00D93ACA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3ACA">
              <w:rPr>
                <w:rFonts w:hint="cs"/>
                <w:b/>
                <w:bCs/>
                <w:sz w:val="20"/>
                <w:szCs w:val="20"/>
                <w:rtl/>
              </w:rPr>
              <w:t>غليوم الثاني :حكم الإمبراطورية البروسية(ألمانيا)بين 1888-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1918</w:t>
            </w:r>
          </w:p>
          <w:p w:rsidR="00D93ACA" w:rsidRDefault="00D93ACA" w:rsidP="00D93AC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الرايختاغ:الاسم الرسمي لالمانيا من 1871الى1945وتعني باللغة </w:t>
            </w:r>
            <w:r w:rsidR="00742B13">
              <w:rPr>
                <w:rFonts w:hint="cs"/>
                <w:b/>
                <w:bCs/>
                <w:sz w:val="20"/>
                <w:szCs w:val="20"/>
                <w:rtl/>
              </w:rPr>
              <w:t>الألمانية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2B13">
              <w:rPr>
                <w:rFonts w:hint="cs"/>
                <w:b/>
                <w:bCs/>
                <w:sz w:val="20"/>
                <w:szCs w:val="20"/>
                <w:rtl/>
              </w:rPr>
              <w:t>الإمبراطورية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2B13">
              <w:rPr>
                <w:rFonts w:hint="cs"/>
                <w:b/>
                <w:bCs/>
                <w:sz w:val="20"/>
                <w:szCs w:val="20"/>
                <w:rtl/>
              </w:rPr>
              <w:t>الألمانية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تحولت التسمية الى دويتش رايخ</w:t>
            </w:r>
          </w:p>
        </w:tc>
      </w:tr>
      <w:tr w:rsidR="00731D6D" w:rsidTr="0085641C">
        <w:trPr>
          <w:gridBefore w:val="1"/>
          <w:wBefore w:w="25" w:type="dxa"/>
          <w:trHeight w:val="3167"/>
        </w:trPr>
        <w:tc>
          <w:tcPr>
            <w:tcW w:w="10509" w:type="dxa"/>
            <w:gridSpan w:val="3"/>
            <w:tcBorders>
              <w:bottom w:val="single" w:sz="4" w:space="0" w:color="auto"/>
            </w:tcBorders>
          </w:tcPr>
          <w:p w:rsidR="00731D6D" w:rsidRDefault="00731D6D" w:rsidP="008173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الوثيقة الثانية :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التقارب الألماني الايطالي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73B4">
              <w:rPr>
                <w:rFonts w:hint="cs"/>
                <w:b/>
                <w:bCs/>
                <w:sz w:val="28"/>
                <w:szCs w:val="28"/>
                <w:rtl/>
              </w:rPr>
              <w:t>(محور روما برلين في نوفمبر 1936)</w:t>
            </w:r>
          </w:p>
          <w:p w:rsidR="00896D74" w:rsidRDefault="007D6434" w:rsidP="00731D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587218" cy="2277373"/>
                  <wp:effectExtent l="19050" t="0" r="0" b="0"/>
                  <wp:docPr id="2" name="Image 1" descr="mussolini-hit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solini-hitler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27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D74" w:rsidTr="0085641C">
        <w:trPr>
          <w:gridBefore w:val="1"/>
          <w:wBefore w:w="25" w:type="dxa"/>
          <w:trHeight w:val="2247"/>
        </w:trPr>
        <w:tc>
          <w:tcPr>
            <w:tcW w:w="10509" w:type="dxa"/>
            <w:gridSpan w:val="3"/>
            <w:tcBorders>
              <w:top w:val="single" w:sz="4" w:space="0" w:color="auto"/>
            </w:tcBorders>
          </w:tcPr>
          <w:p w:rsidR="00896D74" w:rsidRPr="00432159" w:rsidRDefault="00896D74" w:rsidP="00731D6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الوثيقة الثالثة :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المجال الحيوي لايطاليا</w:t>
            </w:r>
          </w:p>
          <w:p w:rsidR="00896D74" w:rsidRPr="00432159" w:rsidRDefault="00896D74" w:rsidP="00AE74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2159">
              <w:rPr>
                <w:rFonts w:hint="cs"/>
                <w:b/>
                <w:bCs/>
                <w:sz w:val="32"/>
                <w:szCs w:val="32"/>
                <w:rtl/>
              </w:rPr>
              <w:t>"</w:t>
            </w:r>
            <w:r w:rsidR="0085641C" w:rsidRPr="00432159">
              <w:rPr>
                <w:rFonts w:hint="cs"/>
                <w:b/>
                <w:bCs/>
                <w:sz w:val="32"/>
                <w:szCs w:val="32"/>
                <w:rtl/>
              </w:rPr>
              <w:t>إن</w:t>
            </w:r>
            <w:r w:rsidRPr="00432159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ايطاليا </w:t>
            </w:r>
            <w:r w:rsidR="0085641C" w:rsidRPr="00432159">
              <w:rPr>
                <w:rFonts w:hint="cs"/>
                <w:b/>
                <w:bCs/>
                <w:sz w:val="32"/>
                <w:szCs w:val="32"/>
                <w:rtl/>
              </w:rPr>
              <w:t>إيجاد</w:t>
            </w:r>
            <w:r w:rsidRPr="00432159">
              <w:rPr>
                <w:rFonts w:hint="cs"/>
                <w:b/>
                <w:bCs/>
                <w:sz w:val="32"/>
                <w:szCs w:val="32"/>
                <w:rtl/>
              </w:rPr>
              <w:t xml:space="preserve"> مجالات خارج </w:t>
            </w:r>
            <w:r w:rsidR="0085641C" w:rsidRPr="00432159">
              <w:rPr>
                <w:rFonts w:hint="cs"/>
                <w:b/>
                <w:bCs/>
                <w:sz w:val="32"/>
                <w:szCs w:val="32"/>
                <w:rtl/>
              </w:rPr>
              <w:t>ارو</w:t>
            </w:r>
            <w:r w:rsidR="00AE743D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85641C" w:rsidRPr="00432159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432159">
              <w:rPr>
                <w:rFonts w:hint="cs"/>
                <w:b/>
                <w:bCs/>
                <w:sz w:val="32"/>
                <w:szCs w:val="32"/>
                <w:rtl/>
              </w:rPr>
              <w:t xml:space="preserve"> تتيح استقبال فائض السكان وتوفر للبلاد المواد </w:t>
            </w:r>
            <w:r w:rsidR="0085641C" w:rsidRPr="00432159">
              <w:rPr>
                <w:rFonts w:hint="cs"/>
                <w:b/>
                <w:bCs/>
                <w:sz w:val="32"/>
                <w:szCs w:val="32"/>
                <w:rtl/>
              </w:rPr>
              <w:t>الأولية</w:t>
            </w:r>
            <w:r w:rsidRPr="0043215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الضرورية لصناعتها ...." </w:t>
            </w:r>
          </w:p>
          <w:p w:rsidR="00432159" w:rsidRPr="00C25867" w:rsidRDefault="00896D74" w:rsidP="00D93A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25867">
              <w:rPr>
                <w:rFonts w:hint="cs"/>
                <w:b/>
                <w:bCs/>
                <w:sz w:val="24"/>
                <w:szCs w:val="24"/>
                <w:rtl/>
              </w:rPr>
              <w:t>من تصريح غراندي</w:t>
            </w:r>
            <w:r w:rsidRPr="00C25867">
              <w:rPr>
                <w:b/>
                <w:bCs/>
                <w:sz w:val="24"/>
                <w:szCs w:val="24"/>
                <w:rtl/>
              </w:rPr>
              <w:t>–</w:t>
            </w:r>
            <w:r w:rsidRPr="00C25867">
              <w:rPr>
                <w:rFonts w:hint="cs"/>
                <w:b/>
                <w:bCs/>
                <w:sz w:val="24"/>
                <w:szCs w:val="24"/>
                <w:rtl/>
              </w:rPr>
              <w:t xml:space="preserve">اورده بيار رونفان </w:t>
            </w:r>
            <w:r w:rsidRPr="00C25867">
              <w:rPr>
                <w:b/>
                <w:bCs/>
                <w:sz w:val="24"/>
                <w:szCs w:val="24"/>
                <w:rtl/>
              </w:rPr>
              <w:t>–</w:t>
            </w:r>
            <w:r w:rsidRPr="00C25867">
              <w:rPr>
                <w:rFonts w:hint="cs"/>
                <w:b/>
                <w:bCs/>
                <w:sz w:val="24"/>
                <w:szCs w:val="24"/>
                <w:rtl/>
              </w:rPr>
              <w:t xml:space="preserve">تاريخ العلاقات الدولية-ص </w:t>
            </w:r>
            <w:r w:rsidR="00432159" w:rsidRPr="00C2586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  <w:p w:rsidR="00896D74" w:rsidRDefault="00D93ACA" w:rsidP="00D9604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93ACA">
              <w:rPr>
                <w:rFonts w:hint="cs"/>
                <w:b/>
                <w:bCs/>
                <w:sz w:val="20"/>
                <w:szCs w:val="20"/>
                <w:rtl/>
              </w:rPr>
              <w:t>غراندي:</w:t>
            </w:r>
            <w:r w:rsidR="00D96046">
              <w:rPr>
                <w:rFonts w:hint="cs"/>
                <w:b/>
                <w:bCs/>
                <w:sz w:val="20"/>
                <w:szCs w:val="20"/>
                <w:rtl/>
              </w:rPr>
              <w:t>دينو غراندي</w:t>
            </w:r>
            <w:r w:rsidR="00AE743D">
              <w:rPr>
                <w:rFonts w:hint="cs"/>
                <w:b/>
                <w:bCs/>
                <w:sz w:val="20"/>
                <w:szCs w:val="20"/>
                <w:rtl/>
              </w:rPr>
              <w:t xml:space="preserve"> شغل قنصل و</w:t>
            </w:r>
            <w:r w:rsidRPr="00D93ACA">
              <w:rPr>
                <w:rFonts w:hint="cs"/>
                <w:b/>
                <w:bCs/>
                <w:sz w:val="20"/>
                <w:szCs w:val="20"/>
                <w:rtl/>
              </w:rPr>
              <w:t xml:space="preserve"> كاتب الدولة للشؤون الخارجية الايطالية </w:t>
            </w:r>
            <w:r w:rsidR="00D96046">
              <w:rPr>
                <w:rFonts w:hint="cs"/>
                <w:b/>
                <w:bCs/>
                <w:sz w:val="20"/>
                <w:szCs w:val="20"/>
                <w:rtl/>
              </w:rPr>
              <w:t>من 1925-1939</w:t>
            </w:r>
          </w:p>
        </w:tc>
      </w:tr>
      <w:tr w:rsidR="00731D6D" w:rsidTr="0085641C">
        <w:trPr>
          <w:trHeight w:val="1522"/>
        </w:trPr>
        <w:tc>
          <w:tcPr>
            <w:tcW w:w="10534" w:type="dxa"/>
            <w:gridSpan w:val="4"/>
          </w:tcPr>
          <w:p w:rsidR="00731D6D" w:rsidRDefault="00731D6D" w:rsidP="00896D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الوثيقة</w:t>
            </w:r>
            <w:r w:rsidR="00896D74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E62D78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خسائر </w:t>
            </w:r>
            <w:r w:rsidR="007D6434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ألمانيا</w:t>
            </w:r>
            <w:r w:rsidR="00E62D78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وايطاليا في الحربين العالميتين</w:t>
            </w:r>
          </w:p>
          <w:tbl>
            <w:tblPr>
              <w:tblW w:w="10206" w:type="dxa"/>
              <w:tblInd w:w="68" w:type="dxa"/>
              <w:tblBorders>
                <w:top w:val="threeDEngrave" w:sz="24" w:space="0" w:color="000000" w:themeColor="text1"/>
                <w:left w:val="threeDEngrave" w:sz="24" w:space="0" w:color="000000" w:themeColor="text1"/>
                <w:bottom w:val="threeDEngrave" w:sz="24" w:space="0" w:color="000000" w:themeColor="text1"/>
                <w:right w:val="threeDEngrave" w:sz="24" w:space="0" w:color="000000" w:themeColor="text1"/>
                <w:insideH w:val="threeDEngrave" w:sz="24" w:space="0" w:color="000000" w:themeColor="text1"/>
                <w:insideV w:val="threeDEngrave" w:sz="24" w:space="0" w:color="000000" w:themeColor="text1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26"/>
              <w:gridCol w:w="4111"/>
              <w:gridCol w:w="3969"/>
            </w:tblGrid>
            <w:tr w:rsidR="0080448C" w:rsidTr="00896D74">
              <w:trPr>
                <w:trHeight w:val="486"/>
              </w:trPr>
              <w:tc>
                <w:tcPr>
                  <w:tcW w:w="6237" w:type="dxa"/>
                  <w:gridSpan w:val="2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قتلى الحربين العالميتين</w:t>
                  </w:r>
                </w:p>
              </w:tc>
              <w:tc>
                <w:tcPr>
                  <w:tcW w:w="3969" w:type="dxa"/>
                  <w:vMerge w:val="restart"/>
                  <w:tcBorders>
                    <w:tr2bl w:val="threeDEngrave" w:sz="24" w:space="0" w:color="000000" w:themeColor="text1"/>
                  </w:tcBorders>
                </w:tcPr>
                <w:p w:rsidR="0080448C" w:rsidRDefault="0080448C" w:rsidP="00501D0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المؤشرات</w:t>
                  </w:r>
                </w:p>
                <w:p w:rsidR="0080448C" w:rsidRDefault="0080448C" w:rsidP="00501D0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البلد             </w:t>
                  </w:r>
                </w:p>
              </w:tc>
            </w:tr>
            <w:tr w:rsidR="0080448C" w:rsidTr="0080448C">
              <w:trPr>
                <w:trHeight w:val="466"/>
              </w:trPr>
              <w:tc>
                <w:tcPr>
                  <w:tcW w:w="2126" w:type="dxa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الحرب العالمية الثانية</w:t>
                  </w:r>
                </w:p>
              </w:tc>
              <w:tc>
                <w:tcPr>
                  <w:tcW w:w="4111" w:type="dxa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الحرب العالمية الأول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  <w:rtl/>
                    </w:rPr>
                    <w:t>ى</w:t>
                  </w:r>
                </w:p>
              </w:tc>
              <w:tc>
                <w:tcPr>
                  <w:tcW w:w="3969" w:type="dxa"/>
                  <w:vMerge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0448C" w:rsidTr="0080448C">
              <w:trPr>
                <w:trHeight w:val="348"/>
              </w:trPr>
              <w:tc>
                <w:tcPr>
                  <w:tcW w:w="2126" w:type="dxa"/>
                </w:tcPr>
                <w:p w:rsidR="0080448C" w:rsidRDefault="0080448C" w:rsidP="0080448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480 آلف</w:t>
                  </w:r>
                </w:p>
              </w:tc>
              <w:tc>
                <w:tcPr>
                  <w:tcW w:w="4111" w:type="dxa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580 آلف</w:t>
                  </w:r>
                </w:p>
              </w:tc>
              <w:tc>
                <w:tcPr>
                  <w:tcW w:w="3969" w:type="dxa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ايطاليا</w:t>
                  </w:r>
                </w:p>
              </w:tc>
            </w:tr>
            <w:tr w:rsidR="0080448C" w:rsidTr="0085641C">
              <w:trPr>
                <w:trHeight w:val="486"/>
              </w:trPr>
              <w:tc>
                <w:tcPr>
                  <w:tcW w:w="2126" w:type="dxa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 مليون</w:t>
                  </w:r>
                </w:p>
              </w:tc>
              <w:tc>
                <w:tcPr>
                  <w:tcW w:w="4111" w:type="dxa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 مليون</w:t>
                  </w:r>
                </w:p>
              </w:tc>
              <w:tc>
                <w:tcPr>
                  <w:tcW w:w="3969" w:type="dxa"/>
                </w:tcPr>
                <w:p w:rsidR="0080448C" w:rsidRDefault="0080448C" w:rsidP="00E62D7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ألمانيا</w:t>
                  </w:r>
                </w:p>
              </w:tc>
            </w:tr>
          </w:tbl>
          <w:p w:rsidR="00E62D78" w:rsidRDefault="00E62D78" w:rsidP="00731D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6D74" w:rsidTr="00432159">
        <w:trPr>
          <w:trHeight w:val="847"/>
        </w:trPr>
        <w:tc>
          <w:tcPr>
            <w:tcW w:w="10534" w:type="dxa"/>
            <w:gridSpan w:val="4"/>
          </w:tcPr>
          <w:p w:rsidR="00896D74" w:rsidRDefault="00432159" w:rsidP="00106A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المصدر:بويون صورلين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العالم المعاصر-باريس 1968 ص 93</w:t>
            </w:r>
          </w:p>
        </w:tc>
      </w:tr>
    </w:tbl>
    <w:p w:rsidR="0080448C" w:rsidRDefault="0080448C" w:rsidP="00C25867">
      <w:pPr>
        <w:rPr>
          <w:b/>
          <w:bCs/>
          <w:sz w:val="28"/>
          <w:szCs w:val="28"/>
        </w:rPr>
      </w:pPr>
    </w:p>
    <w:tbl>
      <w:tblPr>
        <w:tblW w:w="1049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5"/>
        <w:gridCol w:w="3689"/>
      </w:tblGrid>
      <w:tr w:rsidR="0080448C" w:rsidTr="00C25867">
        <w:trPr>
          <w:trHeight w:val="566"/>
        </w:trPr>
        <w:tc>
          <w:tcPr>
            <w:tcW w:w="10494" w:type="dxa"/>
            <w:gridSpan w:val="2"/>
          </w:tcPr>
          <w:p w:rsidR="00432159" w:rsidRDefault="00432159" w:rsidP="0043215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الوثيقة الخامسة :</w:t>
            </w:r>
            <w:r w:rsidR="0080448C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خريطة </w:t>
            </w:r>
            <w:r w:rsidR="00AA5F28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ألمانيا</w:t>
            </w:r>
            <w:r w:rsidR="0080448C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 بعد الحربين العالميتين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</w:t>
            </w:r>
          </w:p>
        </w:tc>
      </w:tr>
      <w:tr w:rsidR="0080448C" w:rsidTr="00A300C1">
        <w:trPr>
          <w:trHeight w:val="4674"/>
        </w:trPr>
        <w:tc>
          <w:tcPr>
            <w:tcW w:w="6805" w:type="dxa"/>
          </w:tcPr>
          <w:p w:rsidR="0080448C" w:rsidRDefault="00432159" w:rsidP="00D03A50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4328663" cy="2993366"/>
                  <wp:effectExtent l="19050" t="0" r="0" b="0"/>
                  <wp:docPr id="5" name="Image 4" descr="101343_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343_286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468" cy="300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</w:tcPr>
          <w:p w:rsidR="0080448C" w:rsidRDefault="00432159" w:rsidP="00D03A50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120300" cy="2993366"/>
                  <wp:effectExtent l="19050" t="0" r="0" b="0"/>
                  <wp:docPr id="4" name="Image 3" descr="almanya vers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nya versa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256" cy="299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48C" w:rsidRDefault="0080448C" w:rsidP="00C25867">
      <w:pPr>
        <w:rPr>
          <w:b/>
          <w:bCs/>
          <w:sz w:val="28"/>
          <w:szCs w:val="28"/>
        </w:rPr>
      </w:pPr>
    </w:p>
    <w:p w:rsidR="00432159" w:rsidRDefault="00C25867" w:rsidP="00C258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الأسئلة       </w:t>
      </w:r>
      <w:r w:rsidR="008853BE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432159">
        <w:rPr>
          <w:rFonts w:hint="cs"/>
          <w:b/>
          <w:bCs/>
          <w:sz w:val="28"/>
          <w:szCs w:val="28"/>
          <w:rtl/>
        </w:rPr>
        <w:t xml:space="preserve">حلل الوثائق تحليلا مسترسلا معتمدا </w:t>
      </w:r>
      <w:r w:rsidR="00AE2B7D">
        <w:rPr>
          <w:rFonts w:hint="cs"/>
          <w:b/>
          <w:bCs/>
          <w:sz w:val="28"/>
          <w:szCs w:val="28"/>
          <w:rtl/>
        </w:rPr>
        <w:t>الأسئلة</w:t>
      </w:r>
      <w:r w:rsidR="00432159">
        <w:rPr>
          <w:rFonts w:hint="cs"/>
          <w:b/>
          <w:bCs/>
          <w:sz w:val="28"/>
          <w:szCs w:val="28"/>
          <w:rtl/>
        </w:rPr>
        <w:t xml:space="preserve"> التالية </w:t>
      </w:r>
    </w:p>
    <w:p w:rsidR="00432159" w:rsidRDefault="00432159" w:rsidP="00AA5F2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1-حدد دوافع التقارب </w:t>
      </w:r>
      <w:r w:rsidR="00AE2B7D">
        <w:rPr>
          <w:rFonts w:hint="cs"/>
          <w:b/>
          <w:bCs/>
          <w:sz w:val="28"/>
          <w:szCs w:val="28"/>
          <w:rtl/>
        </w:rPr>
        <w:t>الألماني</w:t>
      </w:r>
      <w:r>
        <w:rPr>
          <w:rFonts w:hint="cs"/>
          <w:b/>
          <w:bCs/>
          <w:sz w:val="28"/>
          <w:szCs w:val="28"/>
          <w:rtl/>
        </w:rPr>
        <w:t xml:space="preserve"> الايطالي خلال الحربين العالميتين </w:t>
      </w:r>
      <w:r w:rsidR="00AE2B7D">
        <w:rPr>
          <w:rFonts w:hint="cs"/>
          <w:b/>
          <w:bCs/>
          <w:sz w:val="28"/>
          <w:szCs w:val="28"/>
          <w:rtl/>
        </w:rPr>
        <w:t>الأولى</w:t>
      </w:r>
      <w:r>
        <w:rPr>
          <w:rFonts w:hint="cs"/>
          <w:b/>
          <w:bCs/>
          <w:sz w:val="28"/>
          <w:szCs w:val="28"/>
          <w:rtl/>
        </w:rPr>
        <w:t xml:space="preserve"> والثانية</w:t>
      </w:r>
      <w:r w:rsidR="00AE2B7D">
        <w:rPr>
          <w:rFonts w:hint="cs"/>
          <w:b/>
          <w:bCs/>
          <w:sz w:val="28"/>
          <w:szCs w:val="28"/>
          <w:rtl/>
        </w:rPr>
        <w:t>(</w:t>
      </w:r>
      <w:r w:rsidR="00AA5F28">
        <w:rPr>
          <w:rFonts w:hint="cs"/>
          <w:b/>
          <w:bCs/>
          <w:sz w:val="28"/>
          <w:szCs w:val="28"/>
          <w:rtl/>
        </w:rPr>
        <w:t>3</w:t>
      </w:r>
      <w:r w:rsidR="00AE2B7D">
        <w:rPr>
          <w:rFonts w:hint="cs"/>
          <w:b/>
          <w:bCs/>
          <w:sz w:val="28"/>
          <w:szCs w:val="28"/>
          <w:rtl/>
        </w:rPr>
        <w:t>ن)</w:t>
      </w:r>
    </w:p>
    <w:p w:rsidR="00432159" w:rsidRDefault="00432159" w:rsidP="00AA5F2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2-بين النتائج البشرية والاقتصادية </w:t>
      </w:r>
      <w:r w:rsidR="00AE2B7D">
        <w:rPr>
          <w:rFonts w:hint="cs"/>
          <w:b/>
          <w:bCs/>
          <w:sz w:val="28"/>
          <w:szCs w:val="28"/>
          <w:rtl/>
        </w:rPr>
        <w:t>لألمانيا وايطاليا غداة الحربين العالميتين(</w:t>
      </w:r>
      <w:r w:rsidR="00AA5F28">
        <w:rPr>
          <w:rFonts w:hint="cs"/>
          <w:b/>
          <w:bCs/>
          <w:sz w:val="28"/>
          <w:szCs w:val="28"/>
          <w:rtl/>
        </w:rPr>
        <w:t>2ن</w:t>
      </w:r>
      <w:r w:rsidR="00AE2B7D">
        <w:rPr>
          <w:rFonts w:hint="cs"/>
          <w:b/>
          <w:bCs/>
          <w:sz w:val="28"/>
          <w:szCs w:val="28"/>
          <w:rtl/>
        </w:rPr>
        <w:t>)</w:t>
      </w:r>
    </w:p>
    <w:p w:rsidR="00C25867" w:rsidRDefault="00AE2B7D" w:rsidP="00C258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3-وضح الخارطة </w:t>
      </w:r>
      <w:r w:rsidR="00C25867">
        <w:rPr>
          <w:rFonts w:hint="cs"/>
          <w:b/>
          <w:bCs/>
          <w:sz w:val="28"/>
          <w:szCs w:val="28"/>
          <w:rtl/>
        </w:rPr>
        <w:t>الألمانية</w:t>
      </w:r>
      <w:r>
        <w:rPr>
          <w:rFonts w:hint="cs"/>
          <w:b/>
          <w:bCs/>
          <w:sz w:val="28"/>
          <w:szCs w:val="28"/>
          <w:rtl/>
        </w:rPr>
        <w:t xml:space="preserve"> غداة الحربين العالميتين(1ن)</w:t>
      </w:r>
    </w:p>
    <w:p w:rsidR="00C25867" w:rsidRDefault="00C25867" w:rsidP="00C258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المنهجية 3ن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>اللغة والأسلوب 1 نقطة</w:t>
      </w:r>
    </w:p>
    <w:tbl>
      <w:tblPr>
        <w:tblW w:w="10365" w:type="dxa"/>
        <w:tblInd w:w="-505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55"/>
        <w:gridCol w:w="3166"/>
        <w:gridCol w:w="3844"/>
      </w:tblGrid>
      <w:tr w:rsidR="00106A88" w:rsidRPr="00D03A50" w:rsidTr="00532890">
        <w:trPr>
          <w:trHeight w:val="457"/>
        </w:trPr>
        <w:tc>
          <w:tcPr>
            <w:tcW w:w="3355" w:type="dxa"/>
            <w:tcBorders>
              <w:bottom w:val="threeDEngrave" w:sz="24" w:space="0" w:color="000000" w:themeColor="text1"/>
              <w:right w:val="threeDEngrave" w:sz="24" w:space="0" w:color="000000" w:themeColor="text1"/>
            </w:tcBorders>
          </w:tcPr>
          <w:p w:rsidR="00106A88" w:rsidRPr="00D03A50" w:rsidRDefault="00106A88" w:rsidP="00532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المستوى :رابعة آداب 1-2</w:t>
            </w:r>
          </w:p>
        </w:tc>
        <w:tc>
          <w:tcPr>
            <w:tcW w:w="3166" w:type="dxa"/>
            <w:vMerge w:val="restart"/>
            <w:tcBorders>
              <w:right w:val="threeDEngrave" w:sz="24" w:space="0" w:color="000000" w:themeColor="text1"/>
            </w:tcBorders>
          </w:tcPr>
          <w:p w:rsidR="00106A88" w:rsidRPr="00D03A50" w:rsidRDefault="00106A88" w:rsidP="00532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t>فرض تأليفي في مادة التاريخ والجغرافيا</w:t>
            </w:r>
          </w:p>
        </w:tc>
        <w:tc>
          <w:tcPr>
            <w:tcW w:w="3844" w:type="dxa"/>
            <w:tcBorders>
              <w:left w:val="threeDEngrave" w:sz="24" w:space="0" w:color="000000" w:themeColor="text1"/>
              <w:bottom w:val="threeDEngrave" w:sz="24" w:space="0" w:color="000000" w:themeColor="text1"/>
            </w:tcBorders>
          </w:tcPr>
          <w:p w:rsidR="00106A88" w:rsidRPr="00D03A50" w:rsidRDefault="00106A88" w:rsidP="00532890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معهد فرحات حشاد </w:t>
            </w:r>
            <w:r w:rsidRPr="00D03A50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Pr="00D03A5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الكاف -</w:t>
            </w:r>
          </w:p>
        </w:tc>
      </w:tr>
      <w:tr w:rsidR="00106A88" w:rsidRPr="00D03A50" w:rsidTr="00532890">
        <w:trPr>
          <w:trHeight w:val="466"/>
        </w:trPr>
        <w:tc>
          <w:tcPr>
            <w:tcW w:w="3355" w:type="dxa"/>
            <w:tcBorders>
              <w:top w:val="threeDEngrave" w:sz="24" w:space="0" w:color="000000" w:themeColor="text1"/>
              <w:right w:val="threeDEngrave" w:sz="24" w:space="0" w:color="000000" w:themeColor="text1"/>
            </w:tcBorders>
          </w:tcPr>
          <w:p w:rsidR="00106A88" w:rsidRPr="00D03A50" w:rsidRDefault="00106A88" w:rsidP="00532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t>مدة الانجاز :3 ساعات</w:t>
            </w:r>
          </w:p>
        </w:tc>
        <w:tc>
          <w:tcPr>
            <w:tcW w:w="3166" w:type="dxa"/>
            <w:vMerge/>
            <w:tcBorders>
              <w:right w:val="threeDEngrave" w:sz="24" w:space="0" w:color="000000" w:themeColor="text1"/>
            </w:tcBorders>
          </w:tcPr>
          <w:p w:rsidR="00106A88" w:rsidRPr="00D03A50" w:rsidRDefault="00106A88" w:rsidP="005328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threeDEngrave" w:sz="24" w:space="0" w:color="000000" w:themeColor="text1"/>
              <w:left w:val="threeDEngrave" w:sz="24" w:space="0" w:color="000000" w:themeColor="text1"/>
            </w:tcBorders>
          </w:tcPr>
          <w:p w:rsidR="00106A88" w:rsidRPr="00D03A50" w:rsidRDefault="00106A88" w:rsidP="00532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03A50">
              <w:rPr>
                <w:rFonts w:hint="cs"/>
                <w:b/>
                <w:bCs/>
                <w:sz w:val="28"/>
                <w:szCs w:val="28"/>
                <w:rtl/>
              </w:rPr>
              <w:t>الأستاذ :نبيل الشيخاوي</w:t>
            </w:r>
          </w:p>
        </w:tc>
      </w:tr>
    </w:tbl>
    <w:p w:rsidR="00106A88" w:rsidRDefault="00106A88" w:rsidP="00DD045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الجغرافيا((</w:t>
      </w:r>
      <w:r w:rsidR="00DD045A">
        <w:rPr>
          <w:rFonts w:hint="cs"/>
          <w:b/>
          <w:bCs/>
          <w:sz w:val="28"/>
          <w:szCs w:val="28"/>
          <w:rtl/>
        </w:rPr>
        <w:t>10ن))    شرح وثائق حول :"</w:t>
      </w:r>
      <w:r w:rsidR="00DD045A" w:rsidRPr="008853BE">
        <w:rPr>
          <w:rFonts w:hint="cs"/>
          <w:b/>
          <w:bCs/>
          <w:sz w:val="28"/>
          <w:szCs w:val="28"/>
          <w:u w:val="single"/>
          <w:rtl/>
        </w:rPr>
        <w:t xml:space="preserve">القوة </w:t>
      </w:r>
      <w:r w:rsidR="00DD045A" w:rsidRPr="008853BE">
        <w:rPr>
          <w:rFonts w:hint="cs"/>
          <w:b/>
          <w:bCs/>
          <w:sz w:val="28"/>
          <w:szCs w:val="28"/>
          <w:u w:val="single"/>
          <w:rtl/>
          <w:lang w:bidi="ar-TN"/>
        </w:rPr>
        <w:t>الاقتصادية الأمريكية</w:t>
      </w:r>
      <w:r w:rsidRPr="008853BE">
        <w:rPr>
          <w:rFonts w:hint="cs"/>
          <w:b/>
          <w:bCs/>
          <w:sz w:val="28"/>
          <w:szCs w:val="28"/>
          <w:u w:val="single"/>
          <w:rtl/>
        </w:rPr>
        <w:t xml:space="preserve"> والنفوذ العالم</w:t>
      </w:r>
      <w:r w:rsidR="00DD045A" w:rsidRPr="008853BE">
        <w:rPr>
          <w:rFonts w:hint="cs"/>
          <w:b/>
          <w:bCs/>
          <w:sz w:val="28"/>
          <w:szCs w:val="28"/>
          <w:u w:val="single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>"</w:t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0"/>
      </w:tblGrid>
      <w:tr w:rsidR="00CF59C2" w:rsidTr="00A300C1">
        <w:trPr>
          <w:trHeight w:val="3728"/>
        </w:trPr>
        <w:tc>
          <w:tcPr>
            <w:tcW w:w="10490" w:type="dxa"/>
          </w:tcPr>
          <w:p w:rsidR="00CF59C2" w:rsidRDefault="000176D8" w:rsidP="00C25867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الوثيقة الاولى : </w:t>
            </w:r>
            <w:r w:rsidRPr="00A300C1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>مساهمة الولايات المتحدة الامريكية في الانتاج العالمي للفلاحة سنة 2009</w:t>
            </w:r>
          </w:p>
          <w:p w:rsidR="000176D8" w:rsidRDefault="000176D8" w:rsidP="000176D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6502518" cy="1544128"/>
                  <wp:effectExtent l="19050" t="0" r="0" b="0"/>
                  <wp:docPr id="7" name="Image 6" descr="clip_image002[1][3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_image002[1][3]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957" cy="154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6D8" w:rsidRPr="00235C47" w:rsidRDefault="000176D8" w:rsidP="000176D8">
            <w:pPr>
              <w:rPr>
                <w:b/>
                <w:bCs/>
                <w:sz w:val="24"/>
                <w:szCs w:val="24"/>
              </w:rPr>
            </w:pPr>
            <w:r w:rsidRPr="00235C47">
              <w:rPr>
                <w:rFonts w:hint="cs"/>
                <w:b/>
                <w:bCs/>
                <w:sz w:val="24"/>
                <w:szCs w:val="24"/>
                <w:rtl/>
              </w:rPr>
              <w:t xml:space="preserve">عن </w:t>
            </w:r>
            <w:r w:rsidR="00742B13" w:rsidRPr="00235C47">
              <w:rPr>
                <w:rFonts w:hint="cs"/>
                <w:b/>
                <w:bCs/>
                <w:sz w:val="24"/>
                <w:szCs w:val="24"/>
                <w:rtl/>
              </w:rPr>
              <w:t>إحصائيات</w:t>
            </w:r>
            <w:r w:rsidRPr="00235C47">
              <w:rPr>
                <w:rFonts w:hint="cs"/>
                <w:b/>
                <w:bCs/>
                <w:sz w:val="24"/>
                <w:szCs w:val="24"/>
                <w:rtl/>
              </w:rPr>
              <w:t xml:space="preserve"> منظمة </w:t>
            </w:r>
            <w:r w:rsidR="00742B13" w:rsidRPr="00235C47">
              <w:rPr>
                <w:rFonts w:hint="cs"/>
                <w:b/>
                <w:bCs/>
                <w:sz w:val="24"/>
                <w:szCs w:val="24"/>
                <w:rtl/>
              </w:rPr>
              <w:t>الأغذية</w:t>
            </w:r>
            <w:r w:rsidRPr="00235C47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والزراعة سنة 2010 (بتصرف)</w:t>
            </w:r>
          </w:p>
        </w:tc>
      </w:tr>
    </w:tbl>
    <w:p w:rsidR="00CF59C2" w:rsidRPr="00CF59C2" w:rsidRDefault="00CF59C2" w:rsidP="00CF59C2">
      <w:pPr>
        <w:rPr>
          <w:rFonts w:ascii="Arial Rounded MT Bold" w:hAnsi="Arial Rounded MT Bold"/>
          <w:b/>
          <w:bCs/>
          <w:sz w:val="28"/>
          <w:szCs w:val="28"/>
          <w:rtl/>
        </w:rPr>
      </w:pPr>
    </w:p>
    <w:tbl>
      <w:tblPr>
        <w:tblW w:w="1045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54"/>
      </w:tblGrid>
      <w:tr w:rsidR="00106A88" w:rsidTr="00A300C1">
        <w:trPr>
          <w:trHeight w:val="3277"/>
        </w:trPr>
        <w:tc>
          <w:tcPr>
            <w:tcW w:w="10454" w:type="dxa"/>
          </w:tcPr>
          <w:p w:rsidR="00106A88" w:rsidRDefault="00106A88" w:rsidP="00235C4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الوثيقة </w:t>
            </w:r>
            <w:r w:rsidR="00235C47">
              <w:rPr>
                <w:rFonts w:hint="cs"/>
                <w:b/>
                <w:bCs/>
                <w:sz w:val="28"/>
                <w:szCs w:val="28"/>
                <w:rtl/>
              </w:rPr>
              <w:t>الثانية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مؤشرات حول القوة </w:t>
            </w:r>
            <w:r w:rsidR="00BC75F9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الإنتاجية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الصناعية بالولايات المتحدة </w:t>
            </w:r>
            <w:r w:rsidR="00BC75F9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الأمريكية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سنة 2009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221"/>
              <w:gridCol w:w="2268"/>
              <w:gridCol w:w="1417"/>
              <w:gridCol w:w="1276"/>
              <w:gridCol w:w="2883"/>
            </w:tblGrid>
            <w:tr w:rsidR="00106A88" w:rsidTr="00235C47">
              <w:trPr>
                <w:trHeight w:val="436"/>
              </w:trPr>
              <w:tc>
                <w:tcPr>
                  <w:tcW w:w="2221" w:type="dxa"/>
                </w:tcPr>
                <w:p w:rsidR="00106A88" w:rsidRDefault="00106A88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الرتبة العالمية</w:t>
                  </w:r>
                </w:p>
              </w:tc>
              <w:tc>
                <w:tcPr>
                  <w:tcW w:w="2268" w:type="dxa"/>
                </w:tcPr>
                <w:p w:rsidR="00106A88" w:rsidRDefault="00106A88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نسبة المساهمة العالمية</w:t>
                  </w:r>
                </w:p>
              </w:tc>
              <w:tc>
                <w:tcPr>
                  <w:tcW w:w="1417" w:type="dxa"/>
                </w:tcPr>
                <w:p w:rsidR="00106A88" w:rsidRDefault="00106A88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حجم </w:t>
                  </w:r>
                  <w:r w:rsidR="00BC75F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الإنتاج</w:t>
                  </w:r>
                </w:p>
              </w:tc>
              <w:tc>
                <w:tcPr>
                  <w:tcW w:w="1276" w:type="dxa"/>
                </w:tcPr>
                <w:p w:rsidR="00106A88" w:rsidRDefault="00106A88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الوحدة</w:t>
                  </w:r>
                </w:p>
              </w:tc>
              <w:tc>
                <w:tcPr>
                  <w:tcW w:w="2883" w:type="dxa"/>
                </w:tcPr>
                <w:p w:rsidR="00106A88" w:rsidRDefault="00BC75F9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الإنتاج</w:t>
                  </w:r>
                </w:p>
              </w:tc>
            </w:tr>
            <w:tr w:rsidR="00106A88" w:rsidTr="00235C47">
              <w:trPr>
                <w:trHeight w:val="572"/>
              </w:trPr>
              <w:tc>
                <w:tcPr>
                  <w:tcW w:w="2221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106A88" w:rsidRDefault="00DD045A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%</w:t>
                  </w:r>
                  <w:r w:rsidR="00EB59D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5,7</w:t>
                  </w:r>
                </w:p>
              </w:tc>
              <w:tc>
                <w:tcPr>
                  <w:tcW w:w="1417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80,6</w:t>
                  </w:r>
                </w:p>
              </w:tc>
              <w:tc>
                <w:tcPr>
                  <w:tcW w:w="1276" w:type="dxa"/>
                </w:tcPr>
                <w:p w:rsidR="00106A88" w:rsidRDefault="00106A88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مليون طن</w:t>
                  </w:r>
                </w:p>
              </w:tc>
              <w:tc>
                <w:tcPr>
                  <w:tcW w:w="2883" w:type="dxa"/>
                </w:tcPr>
                <w:p w:rsidR="00106A88" w:rsidRDefault="00106A88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الفولاذ</w:t>
                  </w:r>
                </w:p>
              </w:tc>
            </w:tr>
            <w:tr w:rsidR="00106A88" w:rsidTr="00235C47">
              <w:trPr>
                <w:trHeight w:val="624"/>
              </w:trPr>
              <w:tc>
                <w:tcPr>
                  <w:tcW w:w="2221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106A88" w:rsidRDefault="00DD045A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%</w:t>
                  </w:r>
                  <w:r w:rsidR="00EB59D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10,5</w:t>
                  </w:r>
                </w:p>
              </w:tc>
              <w:tc>
                <w:tcPr>
                  <w:tcW w:w="1417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3,4</w:t>
                  </w:r>
                </w:p>
              </w:tc>
              <w:tc>
                <w:tcPr>
                  <w:tcW w:w="1276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مليون طن</w:t>
                  </w:r>
                </w:p>
              </w:tc>
              <w:tc>
                <w:tcPr>
                  <w:tcW w:w="2883" w:type="dxa"/>
                </w:tcPr>
                <w:p w:rsidR="00106A88" w:rsidRDefault="00BC75F9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ألمنيوم</w:t>
                  </w:r>
                </w:p>
              </w:tc>
            </w:tr>
            <w:tr w:rsidR="00106A88" w:rsidTr="00235C47">
              <w:trPr>
                <w:trHeight w:val="625"/>
              </w:trPr>
              <w:tc>
                <w:tcPr>
                  <w:tcW w:w="2221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2,1</w:t>
                  </w:r>
                </w:p>
              </w:tc>
              <w:tc>
                <w:tcPr>
                  <w:tcW w:w="1276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مليون طن</w:t>
                  </w:r>
                </w:p>
              </w:tc>
              <w:tc>
                <w:tcPr>
                  <w:tcW w:w="2883" w:type="dxa"/>
                </w:tcPr>
                <w:p w:rsidR="00106A88" w:rsidRDefault="00EB59DE" w:rsidP="00EB59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مطاط اصطناعي</w:t>
                  </w:r>
                </w:p>
              </w:tc>
            </w:tr>
          </w:tbl>
          <w:p w:rsidR="00106A88" w:rsidRDefault="00EB59DE" w:rsidP="00EB59D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المصدر ملامح العالم الاقتصادية 2010و2011</w:t>
            </w:r>
          </w:p>
        </w:tc>
      </w:tr>
    </w:tbl>
    <w:p w:rsidR="001A3871" w:rsidRDefault="001A3871" w:rsidP="00C835AE">
      <w:pPr>
        <w:rPr>
          <w:b/>
          <w:bCs/>
          <w:sz w:val="28"/>
          <w:szCs w:val="28"/>
        </w:rPr>
      </w:pPr>
    </w:p>
    <w:tbl>
      <w:tblPr>
        <w:tblW w:w="1050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30"/>
        <w:gridCol w:w="3974"/>
      </w:tblGrid>
      <w:tr w:rsidR="00EB59DE" w:rsidTr="00A300C1">
        <w:trPr>
          <w:trHeight w:val="535"/>
        </w:trPr>
        <w:tc>
          <w:tcPr>
            <w:tcW w:w="10504" w:type="dxa"/>
            <w:gridSpan w:val="2"/>
          </w:tcPr>
          <w:p w:rsidR="00C835AE" w:rsidRDefault="00EB59DE" w:rsidP="00235C4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الوثيقة الثا</w:t>
            </w:r>
            <w:r w:rsidR="00235C47">
              <w:rPr>
                <w:rFonts w:hint="cs"/>
                <w:b/>
                <w:bCs/>
                <w:sz w:val="28"/>
                <w:szCs w:val="28"/>
                <w:rtl/>
              </w:rPr>
              <w:t>لثة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r w:rsidR="00C835AE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صعوبات شركات السيارات </w:t>
            </w:r>
            <w:r w:rsidR="00BC75F9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الأمريكية</w:t>
            </w:r>
            <w:r w:rsidR="00C835AE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والحملة الانتخابية الرئاسية </w:t>
            </w:r>
          </w:p>
        </w:tc>
      </w:tr>
      <w:tr w:rsidR="00C835AE" w:rsidTr="00A300C1">
        <w:trPr>
          <w:trHeight w:val="2590"/>
        </w:trPr>
        <w:tc>
          <w:tcPr>
            <w:tcW w:w="6530" w:type="dxa"/>
          </w:tcPr>
          <w:p w:rsidR="00C835AE" w:rsidRPr="00235C47" w:rsidRDefault="00C835AE" w:rsidP="00C835AE">
            <w:pPr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235C47">
              <w:rPr>
                <w:rFonts w:ascii="Arial" w:hAnsi="Arial" w:cs="Arial"/>
                <w:sz w:val="24"/>
                <w:szCs w:val="24"/>
                <w:rtl/>
              </w:rPr>
              <w:t xml:space="preserve">خلال سباق الانتخابات الأمريكية الذي استمر لشهور، لعبت السيارات دوراَ كبيراَ في ميل كفة أوباما، فقد كانت أحد أعمدة أوباما الرئيسية خلال حملته تركيزه علي دوره في </w:t>
            </w:r>
            <w:r w:rsidR="00742B13" w:rsidRPr="00235C47">
              <w:rPr>
                <w:rFonts w:ascii="Arial" w:hAnsi="Arial" w:cs="Arial" w:hint="cs"/>
                <w:sz w:val="24"/>
                <w:szCs w:val="24"/>
                <w:rtl/>
              </w:rPr>
              <w:t>إنقاذ</w:t>
            </w:r>
            <w:r w:rsidRPr="00235C47">
              <w:rPr>
                <w:rFonts w:ascii="Arial" w:hAnsi="Arial" w:cs="Arial"/>
                <w:sz w:val="24"/>
                <w:szCs w:val="24"/>
                <w:rtl/>
              </w:rPr>
              <w:t xml:space="preserve"> صناعة السيارات الأمريكية بقرار الدعم الحكومي لشركات السيارات الأمريكية مثل جنرال موتورز وكرايسلر لإنقاذها من </w:t>
            </w:r>
            <w:r w:rsidR="00BC75F9" w:rsidRPr="00235C47">
              <w:rPr>
                <w:rFonts w:ascii="Arial" w:hAnsi="Arial" w:cs="Arial" w:hint="cs"/>
                <w:sz w:val="24"/>
                <w:szCs w:val="24"/>
                <w:rtl/>
              </w:rPr>
              <w:t>الإفلاس</w:t>
            </w:r>
            <w:r w:rsidRPr="00235C47">
              <w:rPr>
                <w:rFonts w:ascii="Arial" w:hAnsi="Arial" w:cs="Arial"/>
                <w:sz w:val="24"/>
                <w:szCs w:val="24"/>
                <w:rtl/>
              </w:rPr>
              <w:t xml:space="preserve"> بعد معاناتها مع الأزمة المالية العالمية في هذا الوقت</w:t>
            </w:r>
            <w:r w:rsidR="00BC75F9" w:rsidRPr="00235C47">
              <w:rPr>
                <w:rFonts w:ascii="Arial" w:hAnsi="Arial" w:cs="Arial" w:hint="cs"/>
                <w:sz w:val="24"/>
                <w:szCs w:val="24"/>
                <w:rtl/>
              </w:rPr>
              <w:t>(2008)</w:t>
            </w:r>
            <w:r w:rsidRPr="00235C47">
              <w:rPr>
                <w:rFonts w:ascii="Arial" w:hAnsi="Arial" w:cs="Arial"/>
                <w:sz w:val="24"/>
                <w:szCs w:val="24"/>
                <w:rtl/>
              </w:rPr>
              <w:t>! واليوم بعد 4 أعوام ثبت للجميع صحة فكر أوباما بعدما عادت الشركات الأمريكية للمنافسة</w:t>
            </w:r>
          </w:p>
          <w:p w:rsidR="00A300C1" w:rsidRPr="00D96046" w:rsidRDefault="00C835AE" w:rsidP="00A300C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ترجمة من صحيفة نيويورك </w:t>
            </w:r>
            <w:r w:rsidR="008853BE">
              <w:rPr>
                <w:rFonts w:ascii="Arial" w:hAnsi="Arial" w:cs="Arial" w:hint="cs"/>
                <w:sz w:val="28"/>
                <w:szCs w:val="28"/>
                <w:rtl/>
              </w:rPr>
              <w:t>تيمز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853BE">
              <w:rPr>
                <w:rFonts w:ascii="Arial" w:hAnsi="Arial" w:cs="Arial" w:hint="cs"/>
                <w:sz w:val="28"/>
                <w:szCs w:val="28"/>
                <w:rtl/>
              </w:rPr>
              <w:t>أكتوبر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201</w:t>
            </w:r>
            <w:r w:rsidR="00D96046"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3974" w:type="dxa"/>
          </w:tcPr>
          <w:p w:rsidR="00C835AE" w:rsidRDefault="00C835AE" w:rsidP="00C258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387719" cy="1578634"/>
                  <wp:effectExtent l="19050" t="0" r="0" b="0"/>
                  <wp:docPr id="1" name="Image 0" descr="01125106.Par.89380.ImageF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125106.Par.89380.ImageFile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765" cy="1593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5C47" w:rsidRDefault="00235C47" w:rsidP="00C25867">
      <w:pPr>
        <w:jc w:val="right"/>
        <w:rPr>
          <w:b/>
          <w:bCs/>
          <w:sz w:val="28"/>
          <w:szCs w:val="2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38"/>
        <w:gridCol w:w="4252"/>
      </w:tblGrid>
      <w:tr w:rsidR="00235C47" w:rsidTr="00A300C1">
        <w:trPr>
          <w:trHeight w:val="665"/>
        </w:trPr>
        <w:tc>
          <w:tcPr>
            <w:tcW w:w="10490" w:type="dxa"/>
            <w:gridSpan w:val="2"/>
          </w:tcPr>
          <w:p w:rsidR="00235C47" w:rsidRDefault="00235C47" w:rsidP="002342A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الوثيقة الرابعة</w:t>
            </w:r>
            <w:r w:rsidR="00115B25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r w:rsidR="002342A6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="002342A6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الإدمان على الثقافة الأمريكية في عصر العولمة</w:t>
            </w:r>
            <w:r w:rsidR="002342A6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="002342A6">
              <w:rPr>
                <w:b/>
                <w:bCs/>
                <w:sz w:val="28"/>
                <w:szCs w:val="28"/>
                <w:lang w:bidi="ar-TN"/>
              </w:rPr>
              <w:t> </w:t>
            </w:r>
          </w:p>
        </w:tc>
      </w:tr>
      <w:tr w:rsidR="00235C47" w:rsidTr="00A300C1">
        <w:trPr>
          <w:trHeight w:val="3561"/>
        </w:trPr>
        <w:tc>
          <w:tcPr>
            <w:tcW w:w="6238" w:type="dxa"/>
          </w:tcPr>
          <w:p w:rsidR="000A244C" w:rsidRPr="000A244C" w:rsidRDefault="000A244C" w:rsidP="000A244C">
            <w:pPr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>علن موقع الفيس بوك من خلال مؤسسه اليوم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(1 أكتوبر 2012)</w:t>
            </w: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A244C">
              <w:rPr>
                <w:rFonts w:cs="Times New Roman" w:hint="cs"/>
                <w:b/>
                <w:bCs/>
                <w:sz w:val="28"/>
                <w:szCs w:val="28"/>
                <w:rtl/>
              </w:rPr>
              <w:t>أن</w:t>
            </w: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عدد مستخدمي الفيس بوك وصل إلى مليار مستخدم </w:t>
            </w:r>
          </w:p>
          <w:p w:rsidR="000A244C" w:rsidRPr="000A244C" w:rsidRDefault="000A244C" w:rsidP="000A244C">
            <w:pPr>
              <w:jc w:val="right"/>
              <w:rPr>
                <w:b/>
                <w:bCs/>
                <w:sz w:val="28"/>
                <w:szCs w:val="28"/>
              </w:rPr>
            </w:pP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>أكثر من 140 مليار اتصال بين الأصدقاء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في العالم</w:t>
            </w:r>
            <w:r w:rsidRPr="000A244C">
              <w:rPr>
                <w:b/>
                <w:bCs/>
                <w:sz w:val="28"/>
                <w:szCs w:val="28"/>
              </w:rPr>
              <w:t xml:space="preserve"> </w:t>
            </w:r>
          </w:p>
          <w:p w:rsidR="000A244C" w:rsidRPr="000A244C" w:rsidRDefault="000A244C" w:rsidP="000A244C">
            <w:pPr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أكثر من 219 مليار صورة مرفوعة في الموقع علما بأن هذا العدد لا يشمل الصور </w:t>
            </w:r>
            <w:r w:rsidRPr="000A244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المحذوفة</w:t>
            </w: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ولو شملها لأصبح العدد 265 مليار صورة</w:t>
            </w:r>
            <w:r w:rsidRPr="000A244C">
              <w:rPr>
                <w:b/>
                <w:bCs/>
                <w:sz w:val="28"/>
                <w:szCs w:val="28"/>
              </w:rPr>
              <w:t xml:space="preserve"> </w:t>
            </w:r>
          </w:p>
          <w:p w:rsidR="000A244C" w:rsidRPr="000A244C" w:rsidRDefault="000A244C" w:rsidP="000A244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أكثر من 62 مليون </w:t>
            </w:r>
            <w:r w:rsidRPr="000A244C">
              <w:rPr>
                <w:rFonts w:cs="Times New Roman" w:hint="cs"/>
                <w:b/>
                <w:bCs/>
                <w:sz w:val="28"/>
                <w:szCs w:val="28"/>
                <w:rtl/>
              </w:rPr>
              <w:t>أغنية</w:t>
            </w: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تم تشغيلها في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الموقع منها 40</w:t>
            </w:r>
            <w:r w:rsidR="00AE743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مليون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أغنية باللغة الانجليزية</w:t>
            </w:r>
          </w:p>
          <w:p w:rsidR="00235C47" w:rsidRDefault="000A244C" w:rsidP="000A244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A244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هذه الأرقام الفلكية للفيس بوك تدل على النجاح الكبير والساحق لهذه الشبكة و هذه الأرقام ستعجز بالتأكيد المنافسين للفيس بوك وبالتحديد شركة قوقل والتي تحاول جاهدة منافسة الفيس بوك في مجال الشبكات </w:t>
            </w:r>
            <w:r w:rsidR="008853BE" w:rsidRPr="000A244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الاجتماعية</w:t>
            </w:r>
            <w:r w:rsidR="008853BE">
              <w:rPr>
                <w:rFonts w:cs="Times New Roman" w:hint="cs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1218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-المصدر </w:t>
            </w:r>
            <w:r w:rsidR="008853BE">
              <w:rPr>
                <w:rFonts w:cs="Times New Roman"/>
                <w:b/>
                <w:bCs/>
                <w:sz w:val="28"/>
                <w:szCs w:val="28"/>
                <w:rtl/>
              </w:rPr>
              <w:t>–</w:t>
            </w:r>
            <w:r w:rsidR="008853BE" w:rsidRPr="008853B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الاقتصادية-مكتب الإحصاء الأمريكي</w:t>
            </w:r>
            <w:r w:rsidR="008853BE">
              <w:rPr>
                <w:rFonts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0A244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235C47" w:rsidRDefault="002342A6" w:rsidP="00235C4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503290" cy="3001992"/>
                  <wp:effectExtent l="19050" t="0" r="0" b="0"/>
                  <wp:docPr id="3" name="Image 2" descr="facebook-medic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book-medicine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300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5C47" w:rsidRDefault="00235C47" w:rsidP="00C25867">
      <w:pPr>
        <w:jc w:val="right"/>
        <w:rPr>
          <w:b/>
          <w:bCs/>
          <w:sz w:val="28"/>
          <w:szCs w:val="28"/>
        </w:rPr>
      </w:pPr>
    </w:p>
    <w:tbl>
      <w:tblPr>
        <w:tblW w:w="1048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80"/>
      </w:tblGrid>
      <w:tr w:rsidR="00235C47" w:rsidTr="00A300C1">
        <w:trPr>
          <w:trHeight w:val="2921"/>
        </w:trPr>
        <w:tc>
          <w:tcPr>
            <w:tcW w:w="10480" w:type="dxa"/>
          </w:tcPr>
          <w:p w:rsidR="00235C47" w:rsidRDefault="00235C47" w:rsidP="00C258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الوثيقة الخامسة :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الولايات المتحدة </w:t>
            </w:r>
            <w:r w:rsidR="004F1E7F"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الأمريكية</w:t>
            </w:r>
            <w:r w:rsidRPr="00A300C1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ونفوذها العالمي</w:t>
            </w:r>
          </w:p>
          <w:p w:rsidR="00235C47" w:rsidRDefault="00235C47" w:rsidP="00742B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726143" cy="1886423"/>
                  <wp:effectExtent l="19050" t="0" r="7907" b="0"/>
                  <wp:docPr id="10" name="Image 9" descr="ggdt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gdt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706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A88" w:rsidRDefault="004F1E7F" w:rsidP="00C258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الأسئلة</w:t>
      </w:r>
      <w:r w:rsidR="004771F2">
        <w:rPr>
          <w:rFonts w:hint="cs"/>
          <w:b/>
          <w:bCs/>
          <w:sz w:val="28"/>
          <w:szCs w:val="28"/>
          <w:rtl/>
        </w:rPr>
        <w:t xml:space="preserve"> :</w:t>
      </w:r>
      <w:r w:rsidR="008853BE">
        <w:rPr>
          <w:rFonts w:hint="cs"/>
          <w:b/>
          <w:bCs/>
          <w:sz w:val="28"/>
          <w:szCs w:val="28"/>
          <w:rtl/>
        </w:rPr>
        <w:t xml:space="preserve">               </w:t>
      </w:r>
      <w:r w:rsidR="004771F2">
        <w:rPr>
          <w:rFonts w:hint="cs"/>
          <w:b/>
          <w:bCs/>
          <w:sz w:val="28"/>
          <w:szCs w:val="28"/>
          <w:rtl/>
        </w:rPr>
        <w:t xml:space="preserve">حلل الوثائق تحليلا مسترسلا معتمدا </w:t>
      </w:r>
      <w:r>
        <w:rPr>
          <w:rFonts w:hint="cs"/>
          <w:b/>
          <w:bCs/>
          <w:sz w:val="28"/>
          <w:szCs w:val="28"/>
          <w:rtl/>
        </w:rPr>
        <w:t>الأسئلة</w:t>
      </w:r>
      <w:r w:rsidR="004771F2">
        <w:rPr>
          <w:rFonts w:hint="cs"/>
          <w:b/>
          <w:bCs/>
          <w:sz w:val="28"/>
          <w:szCs w:val="28"/>
          <w:rtl/>
        </w:rPr>
        <w:t xml:space="preserve"> التالية:</w:t>
      </w:r>
    </w:p>
    <w:p w:rsidR="004771F2" w:rsidRDefault="004771F2" w:rsidP="00C258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1-وضح مظاهر القوة الفلاحية والصناعية </w:t>
      </w:r>
      <w:r w:rsidR="004F1E7F">
        <w:rPr>
          <w:rFonts w:hint="cs"/>
          <w:b/>
          <w:bCs/>
          <w:sz w:val="28"/>
          <w:szCs w:val="28"/>
          <w:rtl/>
        </w:rPr>
        <w:t>الأمريكية</w:t>
      </w:r>
      <w:r>
        <w:rPr>
          <w:rFonts w:hint="cs"/>
          <w:b/>
          <w:bCs/>
          <w:sz w:val="28"/>
          <w:szCs w:val="28"/>
          <w:rtl/>
        </w:rPr>
        <w:t>(2ن)</w:t>
      </w:r>
    </w:p>
    <w:p w:rsidR="004771F2" w:rsidRDefault="004771F2" w:rsidP="00C258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2-ابرز الصعوبات </w:t>
      </w:r>
      <w:r w:rsidR="004F1E7F">
        <w:rPr>
          <w:rFonts w:hint="cs"/>
          <w:b/>
          <w:bCs/>
          <w:sz w:val="28"/>
          <w:szCs w:val="28"/>
          <w:rtl/>
        </w:rPr>
        <w:t>التي تواجهها الصناعة الأمريكية(1,5</w:t>
      </w:r>
      <w:r>
        <w:rPr>
          <w:rFonts w:hint="cs"/>
          <w:b/>
          <w:bCs/>
          <w:sz w:val="28"/>
          <w:szCs w:val="28"/>
          <w:rtl/>
        </w:rPr>
        <w:t>ن)</w:t>
      </w:r>
    </w:p>
    <w:p w:rsidR="004771F2" w:rsidRDefault="004F1E7F" w:rsidP="008853B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3-بين مساهمة القوة الاقتصادية في</w:t>
      </w:r>
      <w:r w:rsidR="008853BE">
        <w:rPr>
          <w:rFonts w:hint="cs"/>
          <w:b/>
          <w:bCs/>
          <w:sz w:val="28"/>
          <w:szCs w:val="28"/>
          <w:rtl/>
        </w:rPr>
        <w:t xml:space="preserve"> دعم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853BE">
        <w:rPr>
          <w:rFonts w:hint="cs"/>
          <w:b/>
          <w:bCs/>
          <w:sz w:val="28"/>
          <w:szCs w:val="28"/>
          <w:rtl/>
        </w:rPr>
        <w:t xml:space="preserve">النفوذ الثقافي والعسكري الأمريكي </w:t>
      </w:r>
      <w:r>
        <w:rPr>
          <w:rFonts w:hint="cs"/>
          <w:b/>
          <w:bCs/>
          <w:sz w:val="28"/>
          <w:szCs w:val="28"/>
          <w:rtl/>
        </w:rPr>
        <w:t>على المستوى العالمي (2,5ن)</w:t>
      </w:r>
    </w:p>
    <w:p w:rsidR="004F1E7F" w:rsidRDefault="004F1E7F" w:rsidP="00C25867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المنهجية 3ن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>اللغة والأسلوب 1 نقطة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lastRenderedPageBreak/>
        <w:t>الاصلاح                         فرض مادة التاريخ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التقديم :التقديم المشترك للوثائق +التقديم الاحادي لكل وثيقة+الفكرة العامة+الظرفية التاريخية+طرح الاشكاليات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الجوهر:عنصر التفكيك والشرح والتعليق 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1-دوافع التقارب الالماني الايطالي: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-الحرب العالمية الاولى: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-دول ناشئة مقارنة بالقوى الاستعمارية التقليدية :فرنسا وبريطانيا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-فقدان المانيا وايطاليا للمستعمرات (ضعف مساحة المستعمرات الالمانية الايطالية)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-المطالبة باعادة تقسيم المستعمرات(مثال ازمة طنجة)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-التحالف العسكري الايطالي الالماني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-الحرب العالمية الثانية: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-مخلفات الحرب العالمية الاولى :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خيبة امل الايطاليين رغم التضحيات البشرية والمادية في الحرب الاولى (الانسحاب وفق معاهدة لندن سنة 1915-دون الحصول على الوعود في مؤتمر السلم)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-قساوة معاهدة فرساي على المانيا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-صعود الانظمة الكليانية والتقارب في الاهداف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-البحث عن المجال الحيوي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-انسحاب ايطاليا والمانيا من عصبة الامم 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-عودة التحالف :محور روما برلين</w:t>
      </w:r>
    </w:p>
    <w:p w:rsidR="00A93BAA" w:rsidRDefault="00A93BA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2-النتائج البشرية والاقتصادية في المانيا وايطاليا</w:t>
      </w:r>
    </w:p>
    <w:p w:rsidR="00A93BAA" w:rsidRDefault="00DF204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-بشريا :تضرر المانيا وايطاليا كباقي الدول المشاركة في الحرب</w:t>
      </w:r>
    </w:p>
    <w:p w:rsidR="00DF204A" w:rsidRDefault="00DF204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-كثرة الضحايا الالمان خلال الحربين :الثانية بعد الاتحاد السوفياتي</w:t>
      </w:r>
    </w:p>
    <w:p w:rsidR="00DF204A" w:rsidRDefault="00DF204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-تراجع فئة الكهول وتراجع النمو الديمغرافي</w:t>
      </w:r>
    </w:p>
    <w:p w:rsidR="00DF204A" w:rsidRDefault="00DF204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-بقاء اقليات المانية خارج الحدود الالمانية بعد الحرب الاولى</w:t>
      </w:r>
    </w:p>
    <w:p w:rsidR="00DF204A" w:rsidRDefault="00DF204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-اقتصاديا:دمار البنية التحتية +دمار مدينة برلين في الحرب الثانية</w:t>
      </w:r>
    </w:p>
    <w:p w:rsidR="00DF204A" w:rsidRDefault="00DF204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lastRenderedPageBreak/>
        <w:t>-تراجع مؤشرات الانتاج بسبب المجهود الحربي ودخول ايطاليا في أزمة منذ 1922</w:t>
      </w:r>
    </w:p>
    <w:p w:rsidR="00DF204A" w:rsidRDefault="00DF204A" w:rsidP="00A93BA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-إلزام ألمانيا بدفع تعويضات مالية بعد الحرب الأولى (معاهدة فرساي)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3-الخارطة الألمانية بعد الحربين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بعد الحرب الأولى :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-عودة الالزاس واللوران الى فرنسا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-توسع الدنمارك شمالا على حساب الاراضي الالمانية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-نشاة الدولة البولونية وتشيكوسلوفاكيا على حساب الأراضي الالمانية شرقا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بعد الحرب الثانية :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-تقسيم ألمانيا إلى قسمين جزء شرقي تحت النفوذ السوفياتي والجزء الغربي تحت النفوذ الامريكي الفرنسي البريطاني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-تقسيم العاصمة برلين</w:t>
      </w:r>
    </w:p>
    <w:p w:rsidR="00DF204A" w:rsidRDefault="00DF204A" w:rsidP="00DF204A">
      <w:pPr>
        <w:jc w:val="right"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الخاتمة :تقييم الوثائق  </w:t>
      </w:r>
    </w:p>
    <w:p w:rsidR="00AB61DE" w:rsidRDefault="00AB61D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اصلاح فرض الجغرافيا 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تقديم الوثائق 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عنصر التفكيك والشرح والتعليق 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1-مظاهر القوة الفلاحية والصناعية 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القوة الفلاحية 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-مساهمة متميزة للصادرات الفلاحية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-اهمية صادرات المنتجات النباتية (الذرة والصوجا)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-تنوع الانتاج الفلاحي وضخامته وخاصة المنتجات النباتية (سلاح اخضر)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القوة الصناعية 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تنوع الصناعات الامريكية :الجيل الاول(فولاذ-المنيوم-صناعات غذائية)الجيل الثاني(سيارات)الجيل الثالث(اعلامية -تكنولوجية وصناعات حربية)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-اهمية الصادرات الامريكية على مستوى صناعات الجيل الثالث وحضور مميز لباقي الصناعات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-سيطرة الولايات المتحدة على الاسواق العالمية :صناعات حربية +التكنولوجية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2-صعوبات الصناعة الامريكية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-الجيل الاول :تراجع المداخرات +تراجع الاستثمار الصناعي في منطقة البخيرات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-الجيل الثاني:شدة المنافسة الداخلية والخارجية (اليابان-الاتحاد الاروبي والصين)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-التاثر بالازمات المالية في الثمانينات وسنة 2008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-الجيل الثالث:المنافسو الاروبية واليبانية وتراجع حصص المنتجات الامريكية في الاسواق العالمية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3-مساهمة القوة الاقتصادية في دعم النفوذ الثقافي والعسكري: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-دور الشركات الامريكية وتاثيرها في السياسة الخارجية الامريكية</w:t>
      </w:r>
    </w:p>
    <w:p w:rsidR="00104FFE" w:rsidRDefault="00104FFE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AE743D">
        <w:rPr>
          <w:rFonts w:hint="cs"/>
          <w:b/>
          <w:bCs/>
          <w:sz w:val="28"/>
          <w:szCs w:val="28"/>
          <w:rtl/>
        </w:rPr>
        <w:t>دور الدولة في فتح اسواق خارجية +مساعدة الشركات المهددة بالافلاس</w:t>
      </w:r>
    </w:p>
    <w:p w:rsidR="00AE743D" w:rsidRDefault="00AE743D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-غزو ثقافي:اللغة الانقليزية+المطعمية+الغزو عبر بوابات الانترنات (ثقافة امريكية)</w:t>
      </w:r>
    </w:p>
    <w:p w:rsidR="00AE743D" w:rsidRDefault="00AE743D" w:rsidP="00A93BAA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-غزو عسكري :الولايات المتحدة شرطي العالم+التاثير على مجلس الامن+المشاركة في الحروب(العراق+افغانستان)</w:t>
      </w:r>
    </w:p>
    <w:p w:rsidR="00AE743D" w:rsidRPr="00D03A50" w:rsidRDefault="00AE743D" w:rsidP="00A93BAA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الخاتمة تقييم الوثائق</w:t>
      </w:r>
    </w:p>
    <w:sectPr w:rsidR="00AE743D" w:rsidRPr="00D03A50" w:rsidSect="00D03A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531" w:rsidRDefault="00370531" w:rsidP="00D03A50">
      <w:pPr>
        <w:spacing w:after="0" w:line="240" w:lineRule="auto"/>
      </w:pPr>
      <w:r>
        <w:separator/>
      </w:r>
    </w:p>
  </w:endnote>
  <w:endnote w:type="continuationSeparator" w:id="1">
    <w:p w:rsidR="00370531" w:rsidRDefault="00370531" w:rsidP="00D0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50" w:rsidRDefault="00D03A5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50" w:rsidRDefault="00D03A5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50" w:rsidRDefault="00D03A5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531" w:rsidRDefault="00370531" w:rsidP="00D03A50">
      <w:pPr>
        <w:spacing w:after="0" w:line="240" w:lineRule="auto"/>
      </w:pPr>
      <w:r>
        <w:separator/>
      </w:r>
    </w:p>
  </w:footnote>
  <w:footnote w:type="continuationSeparator" w:id="1">
    <w:p w:rsidR="00370531" w:rsidRDefault="00370531" w:rsidP="00D0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50" w:rsidRDefault="00D03A5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50" w:rsidRDefault="00D03A5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50" w:rsidRDefault="00D03A5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03A50"/>
    <w:rsid w:val="00006D8E"/>
    <w:rsid w:val="000176D8"/>
    <w:rsid w:val="000A244C"/>
    <w:rsid w:val="00104FFE"/>
    <w:rsid w:val="00106A88"/>
    <w:rsid w:val="00115B25"/>
    <w:rsid w:val="001A3871"/>
    <w:rsid w:val="002342A6"/>
    <w:rsid w:val="00235C47"/>
    <w:rsid w:val="0026199B"/>
    <w:rsid w:val="003439A8"/>
    <w:rsid w:val="00370531"/>
    <w:rsid w:val="003B6F55"/>
    <w:rsid w:val="003D36BE"/>
    <w:rsid w:val="003E3CF1"/>
    <w:rsid w:val="0040634C"/>
    <w:rsid w:val="00432159"/>
    <w:rsid w:val="004545C7"/>
    <w:rsid w:val="004771F2"/>
    <w:rsid w:val="004F1E7F"/>
    <w:rsid w:val="00501D01"/>
    <w:rsid w:val="00522211"/>
    <w:rsid w:val="00523B22"/>
    <w:rsid w:val="005D6B07"/>
    <w:rsid w:val="005F7C50"/>
    <w:rsid w:val="006E7AD5"/>
    <w:rsid w:val="00731D6D"/>
    <w:rsid w:val="00742B13"/>
    <w:rsid w:val="007D6434"/>
    <w:rsid w:val="007D6451"/>
    <w:rsid w:val="0080448C"/>
    <w:rsid w:val="008173B4"/>
    <w:rsid w:val="008465D1"/>
    <w:rsid w:val="0085641C"/>
    <w:rsid w:val="008853BE"/>
    <w:rsid w:val="00896D74"/>
    <w:rsid w:val="00986F60"/>
    <w:rsid w:val="00A06A68"/>
    <w:rsid w:val="00A27D84"/>
    <w:rsid w:val="00A300C1"/>
    <w:rsid w:val="00A647F7"/>
    <w:rsid w:val="00A76CA3"/>
    <w:rsid w:val="00A93BAA"/>
    <w:rsid w:val="00AA259C"/>
    <w:rsid w:val="00AA5F28"/>
    <w:rsid w:val="00AB61DE"/>
    <w:rsid w:val="00AE2B7D"/>
    <w:rsid w:val="00AE743D"/>
    <w:rsid w:val="00B1102D"/>
    <w:rsid w:val="00B1218F"/>
    <w:rsid w:val="00B62469"/>
    <w:rsid w:val="00B7086A"/>
    <w:rsid w:val="00BC75F9"/>
    <w:rsid w:val="00C174CC"/>
    <w:rsid w:val="00C25867"/>
    <w:rsid w:val="00C36541"/>
    <w:rsid w:val="00C835AE"/>
    <w:rsid w:val="00CF59C2"/>
    <w:rsid w:val="00D03A50"/>
    <w:rsid w:val="00D465B4"/>
    <w:rsid w:val="00D93ACA"/>
    <w:rsid w:val="00D96046"/>
    <w:rsid w:val="00DD045A"/>
    <w:rsid w:val="00DF204A"/>
    <w:rsid w:val="00E153BE"/>
    <w:rsid w:val="00E62D78"/>
    <w:rsid w:val="00EA486D"/>
    <w:rsid w:val="00EB59DE"/>
    <w:rsid w:val="00ED7E07"/>
    <w:rsid w:val="00F3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0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3A50"/>
  </w:style>
  <w:style w:type="paragraph" w:styleId="Pieddepage">
    <w:name w:val="footer"/>
    <w:basedOn w:val="Normal"/>
    <w:link w:val="PieddepageCar"/>
    <w:uiPriority w:val="99"/>
    <w:semiHidden/>
    <w:unhideWhenUsed/>
    <w:rsid w:val="00D0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3A50"/>
  </w:style>
  <w:style w:type="paragraph" w:styleId="Textedebulles">
    <w:name w:val="Balloon Text"/>
    <w:basedOn w:val="Normal"/>
    <w:link w:val="TextedebullesCar"/>
    <w:uiPriority w:val="99"/>
    <w:semiHidden/>
    <w:unhideWhenUsed/>
    <w:rsid w:val="0073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Chikhaoui</dc:creator>
  <cp:lastModifiedBy>Chikhaoui</cp:lastModifiedBy>
  <cp:revision>20</cp:revision>
  <dcterms:created xsi:type="dcterms:W3CDTF">2012-11-28T10:39:00Z</dcterms:created>
  <dcterms:modified xsi:type="dcterms:W3CDTF">2012-12-17T17:26:00Z</dcterms:modified>
</cp:coreProperties>
</file>